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D06137">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174072" w:rsidRDefault="00174072">
                  <w:pPr>
                    <w:pStyle w:val="NoSpacing"/>
                    <w:rPr>
                      <w:sz w:val="48"/>
                      <w:szCs w:val="48"/>
                    </w:rPr>
                  </w:pPr>
                </w:p>
                <w:p w:rsidR="00174072" w:rsidRDefault="00174072">
                  <w:pPr>
                    <w:pStyle w:val="NoSpacing"/>
                    <w:rPr>
                      <w:sz w:val="48"/>
                      <w:szCs w:val="48"/>
                    </w:rPr>
                  </w:pPr>
                </w:p>
                <w:sdt>
                  <w:sdtPr>
                    <w:alias w:val="Title"/>
                    <w:id w:val="109011430"/>
                    <w:placeholder>
                      <w:docPart w:val="7AA7E8D0E1BE4931B31A7104AA04CD0D"/>
                    </w:placeholder>
                    <w:dataBinding w:prefixMappings="xmlns:ns0='http://purl.org/dc/elements/1.1/' xmlns:ns1='http://schemas.openxmlformats.org/package/2006/metadata/core-properties' " w:xpath="/ns1:coreProperties[1]/ns0:title[1]" w:storeItemID="{6C3C8BC8-F283-45AE-878A-BAB7291924A1}"/>
                    <w:text/>
                  </w:sdtPr>
                  <w:sdtContent>
                    <w:p w:rsidR="00174072" w:rsidRPr="00962253" w:rsidRDefault="00962253" w:rsidP="00962253">
                      <w:pPr>
                        <w:pStyle w:val="Title"/>
                      </w:pPr>
                      <w:r w:rsidRPr="00962253">
                        <w:rPr>
                          <w:lang w:val="en-MY"/>
                        </w:rPr>
                        <w:t>Expectation On PLCs</w:t>
                      </w:r>
                      <w:r w:rsidR="000F62E1" w:rsidRPr="00962253">
                        <w:rPr>
                          <w:lang w:val="en-MY"/>
                        </w:rPr>
                        <w:t xml:space="preserve"> And Directors In Disclosure &amp; Compliance Requirements Under The Listing Requirements</w:t>
                      </w:r>
                    </w:p>
                  </w:sdtContent>
                </w:sdt>
                <w:p w:rsidR="00696AB3" w:rsidRPr="00696AB3" w:rsidRDefault="00174072">
                  <w:pPr>
                    <w:pStyle w:val="NoSpacing"/>
                    <w:rPr>
                      <w:color w:val="FFFFFF"/>
                      <w:sz w:val="40"/>
                      <w:szCs w:val="40"/>
                    </w:rPr>
                  </w:pPr>
                  <w:r>
                    <w:rPr>
                      <w:sz w:val="40"/>
                      <w:szCs w:val="40"/>
                    </w:rPr>
                    <w:t>24</w:t>
                  </w:r>
                  <w:r w:rsidRPr="00174072">
                    <w:rPr>
                      <w:sz w:val="40"/>
                      <w:szCs w:val="40"/>
                      <w:vertAlign w:val="superscript"/>
                    </w:rPr>
                    <w:t>th</w:t>
                  </w:r>
                  <w:r>
                    <w:rPr>
                      <w:sz w:val="40"/>
                      <w:szCs w:val="40"/>
                    </w:rPr>
                    <w:t xml:space="preserve"> October / 24</w:t>
                  </w:r>
                  <w:r w:rsidRPr="00174072">
                    <w:rPr>
                      <w:sz w:val="40"/>
                      <w:szCs w:val="40"/>
                      <w:vertAlign w:val="superscript"/>
                    </w:rPr>
                    <w:t>th</w:t>
                  </w:r>
                  <w:r>
                    <w:rPr>
                      <w:sz w:val="40"/>
                      <w:szCs w:val="40"/>
                    </w:rPr>
                    <w:t xml:space="preserve"> November</w:t>
                  </w:r>
                </w:p>
                <w:p w:rsidR="00696AB3" w:rsidRPr="00696AB3" w:rsidRDefault="00696AB3">
                  <w:pPr>
                    <w:pStyle w:val="NoSpacing"/>
                    <w:rPr>
                      <w:color w:val="FFFFFF"/>
                    </w:rPr>
                  </w:pPr>
                </w:p>
                <w:p w:rsidR="00174072" w:rsidRDefault="00174072" w:rsidP="00174072">
                  <w:pPr>
                    <w:pStyle w:val="NoSpacing"/>
                    <w:jc w:val="both"/>
                  </w:pPr>
                </w:p>
                <w:p w:rsidR="00696AB3" w:rsidRPr="00696AB3" w:rsidRDefault="00174072" w:rsidP="00174072">
                  <w:pPr>
                    <w:pStyle w:val="NoSpacing"/>
                    <w:jc w:val="both"/>
                    <w:rPr>
                      <w:color w:val="FFFFFF"/>
                    </w:rPr>
                  </w:pPr>
                  <w:r w:rsidRPr="00890C1D">
                    <w:rPr>
                      <w:rStyle w:val="QuoteChar"/>
                      <w:rFonts w:asciiTheme="minorHAnsi" w:hAnsiTheme="minorHAnsi"/>
                    </w:rPr>
                    <w:t>“A strong disclosure regime that promotes real transparency is a pivotal part of market based monitoring of companies and is central to shareholders’ ability to exercise their ownership rights on an informed basis”</w:t>
                  </w:r>
                  <w:r w:rsidRPr="00174072">
                    <w:t xml:space="preserve"> …. Organisation For Economic Co-Operation and Development (“OECD”) Corporate Governance Principles.</w:t>
                  </w:r>
                </w:p>
              </w:txbxContent>
            </v:textbox>
          </v:rect>
        </w:pict>
      </w:r>
    </w:p>
    <w:p w:rsidR="00696AB3" w:rsidRDefault="00696AB3"/>
    <w:p w:rsidR="00D35263" w:rsidRDefault="00D06137">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D06137">
      <w:r w:rsidRPr="00D06137">
        <w:rPr>
          <w:rFonts w:asciiTheme="minorHAnsi" w:hAnsiTheme="minorHAnsi"/>
          <w:noProof/>
          <w:lang w:val="en-US"/>
        </w:rPr>
        <w:lastRenderedPageBreak/>
        <w:pict>
          <v:roundrect id="_x0000_s1135" style="position:absolute;margin-left:251.75pt;margin-top:8.65pt;width:156.75pt;height:23.4pt;z-index:-251570176" arcsize="10923f">
            <v:shadow on="t" offset="3pt" offset2="2pt"/>
            <v:textbox style="mso-next-textbox:#_x0000_s1135">
              <w:txbxContent>
                <w:p w:rsidR="00C97A9E" w:rsidRPr="00C97A9E" w:rsidRDefault="00C97A9E" w:rsidP="00C97A9E">
                  <w:pPr>
                    <w:rPr>
                      <w:rFonts w:asciiTheme="minorHAnsi" w:hAnsiTheme="minorHAnsi"/>
                      <w:lang w:val="en-US"/>
                    </w:rPr>
                  </w:pPr>
                  <w:r>
                    <w:rPr>
                      <w:rFonts w:asciiTheme="minorHAnsi" w:hAnsiTheme="minorHAnsi"/>
                      <w:lang w:val="en-US"/>
                    </w:rPr>
                    <w:t>METHODOLOGY  OF DELIVERY</w:t>
                  </w:r>
                </w:p>
              </w:txbxContent>
            </v:textbox>
          </v:roundrect>
        </w:pict>
      </w:r>
      <w:r w:rsidRPr="00D06137">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485431" w:rsidRDefault="00485431" w:rsidP="00485431">
      <w:pPr>
        <w:pStyle w:val="Quote"/>
        <w:jc w:val="both"/>
        <w:rPr>
          <w:rFonts w:asciiTheme="minorHAnsi" w:hAnsiTheme="minorHAnsi"/>
        </w:rPr>
      </w:pPr>
      <w:r w:rsidRPr="00485431">
        <w:rPr>
          <w:rFonts w:asciiTheme="minorHAnsi" w:hAnsiTheme="minorHAnsi"/>
        </w:rPr>
        <w:t>“A strong disclosure regime that promotes real transparency is a pivotal part of market based monitoring of companies and is central to shareholders’ ability to exercise their ownership rights on an informed basis”</w:t>
      </w:r>
      <w:r>
        <w:rPr>
          <w:rFonts w:asciiTheme="minorHAnsi" w:hAnsiTheme="minorHAnsi"/>
        </w:rPr>
        <w:t xml:space="preserve"> </w:t>
      </w:r>
    </w:p>
    <w:p w:rsidR="00485431" w:rsidRDefault="00485431" w:rsidP="00485431">
      <w:pPr>
        <w:jc w:val="both"/>
        <w:rPr>
          <w:rFonts w:asciiTheme="minorHAnsi" w:hAnsiTheme="minorHAnsi"/>
        </w:rPr>
      </w:pPr>
      <w:r w:rsidRPr="00485431">
        <w:rPr>
          <w:rFonts w:asciiTheme="minorHAnsi" w:hAnsiTheme="minorHAnsi"/>
        </w:rPr>
        <w:t>…. Organisation For Economic Co-Operation and Development (“OECD”) Corporate Governance Principles.</w:t>
      </w:r>
    </w:p>
    <w:p w:rsidR="00485431" w:rsidRDefault="00485431" w:rsidP="00485431">
      <w:pPr>
        <w:rPr>
          <w:rFonts w:asciiTheme="minorHAnsi" w:hAnsiTheme="minorHAnsi"/>
        </w:rPr>
      </w:pPr>
    </w:p>
    <w:p w:rsidR="00485431" w:rsidRDefault="00485431" w:rsidP="00485431">
      <w:pPr>
        <w:jc w:val="both"/>
        <w:rPr>
          <w:rFonts w:asciiTheme="minorHAnsi" w:hAnsiTheme="minorHAnsi"/>
        </w:rPr>
      </w:pPr>
      <w:r w:rsidRPr="00485431">
        <w:rPr>
          <w:rFonts w:asciiTheme="minorHAnsi" w:hAnsiTheme="minorHAnsi"/>
        </w:rPr>
        <w:t>In Malaysia we embraced this as we too moved from the merit based regime to the disclosure based regime which principles are;</w:t>
      </w:r>
    </w:p>
    <w:p w:rsidR="00485431" w:rsidRPr="00485431" w:rsidRDefault="00485431" w:rsidP="00485431">
      <w:pPr>
        <w:pStyle w:val="ListParagraph"/>
        <w:numPr>
          <w:ilvl w:val="0"/>
          <w:numId w:val="15"/>
        </w:numPr>
        <w:spacing w:after="100" w:afterAutospacing="1" w:line="240" w:lineRule="auto"/>
        <w:ind w:left="360"/>
        <w:rPr>
          <w:rFonts w:asciiTheme="minorHAnsi" w:hAnsiTheme="minorHAnsi"/>
        </w:rPr>
      </w:pPr>
      <w:r w:rsidRPr="00485431">
        <w:rPr>
          <w:rFonts w:asciiTheme="minorHAnsi" w:hAnsiTheme="minorHAnsi"/>
        </w:rPr>
        <w:t>Diligence</w:t>
      </w:r>
    </w:p>
    <w:p w:rsidR="00485431" w:rsidRPr="00485431" w:rsidRDefault="00485431" w:rsidP="00485431">
      <w:pPr>
        <w:pStyle w:val="ListParagraph"/>
        <w:numPr>
          <w:ilvl w:val="0"/>
          <w:numId w:val="15"/>
        </w:numPr>
        <w:spacing w:after="100" w:afterAutospacing="1" w:line="240" w:lineRule="auto"/>
        <w:ind w:left="360"/>
        <w:rPr>
          <w:rFonts w:asciiTheme="minorHAnsi" w:hAnsiTheme="minorHAnsi"/>
        </w:rPr>
      </w:pPr>
      <w:r w:rsidRPr="00485431">
        <w:rPr>
          <w:rFonts w:asciiTheme="minorHAnsi" w:hAnsiTheme="minorHAnsi"/>
        </w:rPr>
        <w:t>Disclosure</w:t>
      </w:r>
    </w:p>
    <w:p w:rsidR="00485431" w:rsidRPr="00485431" w:rsidRDefault="00485431" w:rsidP="00485431">
      <w:pPr>
        <w:pStyle w:val="ListParagraph"/>
        <w:numPr>
          <w:ilvl w:val="0"/>
          <w:numId w:val="15"/>
        </w:numPr>
        <w:spacing w:after="100" w:afterAutospacing="1" w:line="240" w:lineRule="auto"/>
        <w:ind w:left="360"/>
        <w:jc w:val="both"/>
        <w:rPr>
          <w:rFonts w:asciiTheme="minorHAnsi" w:hAnsiTheme="minorHAnsi"/>
        </w:rPr>
      </w:pPr>
      <w:r w:rsidRPr="00485431">
        <w:rPr>
          <w:rFonts w:asciiTheme="minorHAnsi" w:hAnsiTheme="minorHAnsi"/>
        </w:rPr>
        <w:t>Governance</w:t>
      </w:r>
    </w:p>
    <w:p w:rsidR="00485431" w:rsidRDefault="00357C9B" w:rsidP="00357C9B">
      <w:pPr>
        <w:jc w:val="both"/>
        <w:rPr>
          <w:rFonts w:asciiTheme="minorHAnsi" w:hAnsiTheme="minorHAnsi"/>
        </w:rPr>
      </w:pPr>
      <w:r w:rsidRPr="00357C9B">
        <w:rPr>
          <w:rFonts w:asciiTheme="minorHAnsi" w:hAnsiTheme="minorHAnsi"/>
        </w:rPr>
        <w:t>Under the disclosure based requirement entities are required to ensure that all material information provided to the public is provided accurately, in full and on a timely basis. Disclosure obligations are stipulated in the Listing Requirements of the stock exchange.</w:t>
      </w:r>
    </w:p>
    <w:p w:rsidR="00357C9B" w:rsidRDefault="00357C9B" w:rsidP="00357C9B">
      <w:pPr>
        <w:jc w:val="both"/>
        <w:rPr>
          <w:rFonts w:asciiTheme="minorHAnsi" w:hAnsiTheme="minorHAnsi"/>
        </w:rPr>
      </w:pPr>
    </w:p>
    <w:p w:rsidR="00357C9B" w:rsidRDefault="00357C9B" w:rsidP="00357C9B">
      <w:pPr>
        <w:jc w:val="both"/>
        <w:rPr>
          <w:rFonts w:asciiTheme="minorHAnsi" w:hAnsiTheme="minorHAnsi"/>
        </w:rPr>
      </w:pPr>
      <w:r w:rsidRPr="00357C9B">
        <w:rPr>
          <w:rFonts w:asciiTheme="minorHAnsi" w:hAnsiTheme="minorHAnsi"/>
        </w:rPr>
        <w:t>From the capitals market’s perspective a disclosure framework promotes;</w:t>
      </w:r>
    </w:p>
    <w:p w:rsidR="00357C9B" w:rsidRPr="00357C9B" w:rsidRDefault="00357C9B" w:rsidP="00357C9B">
      <w:pPr>
        <w:pStyle w:val="ListParagraph"/>
        <w:numPr>
          <w:ilvl w:val="0"/>
          <w:numId w:val="16"/>
        </w:numPr>
        <w:spacing w:after="100" w:afterAutospacing="1" w:line="240" w:lineRule="auto"/>
        <w:ind w:left="360"/>
        <w:jc w:val="both"/>
        <w:rPr>
          <w:rFonts w:asciiTheme="minorHAnsi" w:hAnsiTheme="minorHAnsi"/>
        </w:rPr>
      </w:pPr>
      <w:r w:rsidRPr="00357C9B">
        <w:rPr>
          <w:rFonts w:asciiTheme="minorHAnsi" w:hAnsiTheme="minorHAnsi"/>
        </w:rPr>
        <w:t>Sustainability of the Malaysian capital market</w:t>
      </w:r>
    </w:p>
    <w:p w:rsidR="00357C9B" w:rsidRPr="00357C9B" w:rsidRDefault="00357C9B" w:rsidP="00357C9B">
      <w:pPr>
        <w:pStyle w:val="ListParagraph"/>
        <w:numPr>
          <w:ilvl w:val="0"/>
          <w:numId w:val="16"/>
        </w:numPr>
        <w:spacing w:after="100" w:afterAutospacing="1" w:line="240" w:lineRule="auto"/>
        <w:ind w:left="360"/>
        <w:jc w:val="both"/>
        <w:rPr>
          <w:rFonts w:asciiTheme="minorHAnsi" w:hAnsiTheme="minorHAnsi"/>
        </w:rPr>
      </w:pPr>
      <w:r w:rsidRPr="00357C9B">
        <w:rPr>
          <w:rFonts w:asciiTheme="minorHAnsi" w:hAnsiTheme="minorHAnsi"/>
        </w:rPr>
        <w:t>Maintains and improve the quality of our market</w:t>
      </w:r>
    </w:p>
    <w:p w:rsidR="00357C9B" w:rsidRPr="00357C9B" w:rsidRDefault="00357C9B" w:rsidP="00357C9B">
      <w:pPr>
        <w:pStyle w:val="ListParagraph"/>
        <w:numPr>
          <w:ilvl w:val="0"/>
          <w:numId w:val="16"/>
        </w:numPr>
        <w:spacing w:after="100" w:afterAutospacing="1" w:line="240" w:lineRule="auto"/>
        <w:ind w:left="360"/>
        <w:jc w:val="both"/>
        <w:rPr>
          <w:rFonts w:asciiTheme="minorHAnsi" w:hAnsiTheme="minorHAnsi"/>
        </w:rPr>
      </w:pPr>
      <w:r w:rsidRPr="00357C9B">
        <w:rPr>
          <w:rFonts w:asciiTheme="minorHAnsi" w:hAnsiTheme="minorHAnsi"/>
        </w:rPr>
        <w:t>Timely disclosure of material information is critical towards building and maintaining corporate credibility and investor confidence</w:t>
      </w:r>
    </w:p>
    <w:p w:rsidR="00357C9B" w:rsidRPr="00357C9B" w:rsidRDefault="00357C9B" w:rsidP="00357C9B">
      <w:pPr>
        <w:pStyle w:val="ListParagraph"/>
        <w:numPr>
          <w:ilvl w:val="0"/>
          <w:numId w:val="16"/>
        </w:numPr>
        <w:spacing w:after="100" w:afterAutospacing="1" w:line="240" w:lineRule="auto"/>
        <w:ind w:left="360"/>
        <w:jc w:val="both"/>
        <w:rPr>
          <w:rFonts w:asciiTheme="minorHAnsi" w:hAnsiTheme="minorHAnsi"/>
        </w:rPr>
      </w:pPr>
      <w:r w:rsidRPr="00357C9B">
        <w:rPr>
          <w:rFonts w:asciiTheme="minorHAnsi" w:hAnsiTheme="minorHAnsi"/>
        </w:rPr>
        <w:t>A strong disclosure regime will also help attract capital to our market</w:t>
      </w:r>
    </w:p>
    <w:p w:rsidR="00485431" w:rsidRDefault="00357C9B" w:rsidP="003F6F40">
      <w:pPr>
        <w:rPr>
          <w:rFonts w:asciiTheme="minorHAnsi" w:hAnsiTheme="minorHAnsi"/>
        </w:rPr>
      </w:pPr>
      <w:r w:rsidRPr="00357C9B">
        <w:rPr>
          <w:rFonts w:asciiTheme="minorHAnsi" w:hAnsiTheme="minorHAnsi"/>
        </w:rPr>
        <w:t>The requirements are contained for disclosures are contained in:</w:t>
      </w:r>
    </w:p>
    <w:p w:rsidR="00357C9B" w:rsidRPr="00357C9B" w:rsidRDefault="00357C9B" w:rsidP="00357C9B">
      <w:pPr>
        <w:pStyle w:val="ListParagraph"/>
        <w:numPr>
          <w:ilvl w:val="0"/>
          <w:numId w:val="17"/>
        </w:numPr>
        <w:spacing w:after="100" w:afterAutospacing="1" w:line="240" w:lineRule="auto"/>
        <w:ind w:left="360"/>
        <w:rPr>
          <w:rFonts w:asciiTheme="minorHAnsi" w:hAnsiTheme="minorHAnsi"/>
        </w:rPr>
      </w:pPr>
      <w:r w:rsidRPr="00357C9B">
        <w:rPr>
          <w:rFonts w:asciiTheme="minorHAnsi" w:hAnsiTheme="minorHAnsi"/>
        </w:rPr>
        <w:t xml:space="preserve">Bursa Malaysia’ s Listing Requirements </w:t>
      </w:r>
    </w:p>
    <w:p w:rsidR="00357C9B" w:rsidRPr="00357C9B" w:rsidRDefault="00D06137" w:rsidP="00357C9B">
      <w:pPr>
        <w:pStyle w:val="ListParagraph"/>
        <w:numPr>
          <w:ilvl w:val="0"/>
          <w:numId w:val="17"/>
        </w:numPr>
        <w:spacing w:after="100" w:afterAutospacing="1" w:line="240" w:lineRule="auto"/>
        <w:ind w:left="360"/>
        <w:rPr>
          <w:rFonts w:asciiTheme="minorHAnsi" w:hAnsiTheme="minorHAnsi"/>
        </w:rPr>
      </w:pPr>
      <w:r>
        <w:rPr>
          <w:rFonts w:asciiTheme="minorHAnsi" w:hAnsiTheme="minorHAnsi"/>
          <w:noProof/>
        </w:rPr>
        <w:pict>
          <v:roundrect id="_x0000_s1049" style="position:absolute;left:0;text-align:left;margin-left:-6.8pt;margin-top:37.9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r w:rsidR="00357C9B" w:rsidRPr="00357C9B">
        <w:rPr>
          <w:rFonts w:asciiTheme="minorHAnsi" w:hAnsiTheme="minorHAnsi"/>
        </w:rPr>
        <w:t>Capital Markets &amp; Services Act, S320a – false and misleading statement</w:t>
      </w:r>
    </w:p>
    <w:p w:rsidR="00485431" w:rsidRDefault="00485431" w:rsidP="003F6F40">
      <w:pPr>
        <w:rPr>
          <w:rFonts w:asciiTheme="minorHAnsi" w:hAnsiTheme="minorHAnsi"/>
        </w:rPr>
      </w:pPr>
    </w:p>
    <w:p w:rsidR="003F6F40" w:rsidRDefault="003F6F40" w:rsidP="00C97A9E">
      <w:pPr>
        <w:rPr>
          <w:rFonts w:asciiTheme="minorHAnsi" w:hAnsiTheme="minorHAnsi"/>
        </w:rPr>
      </w:pPr>
    </w:p>
    <w:p w:rsidR="00C97A9E" w:rsidRDefault="00C97A9E" w:rsidP="00C97A9E">
      <w:pPr>
        <w:jc w:val="both"/>
        <w:rPr>
          <w:rFonts w:asciiTheme="minorHAnsi" w:hAnsiTheme="minorHAnsi"/>
        </w:rPr>
      </w:pPr>
      <w:r w:rsidRPr="00C97A9E">
        <w:rPr>
          <w:rFonts w:asciiTheme="minorHAnsi" w:hAnsiTheme="minorHAnsi"/>
        </w:rPr>
        <w:t>The objective of this half-day course is to familiarize and to remind the directors and senior management of the disclosure and compliance requirements as contained in the Listing Requirements of Bursa Malaysia.</w:t>
      </w:r>
    </w:p>
    <w:p w:rsidR="00C97A9E" w:rsidRDefault="00C97A9E" w:rsidP="00F81172">
      <w:pPr>
        <w:jc w:val="both"/>
        <w:rPr>
          <w:rFonts w:asciiTheme="minorHAnsi" w:hAnsiTheme="minorHAnsi"/>
        </w:rPr>
      </w:pPr>
    </w:p>
    <w:p w:rsidR="00F81172" w:rsidRDefault="00F81172" w:rsidP="00F81172">
      <w:pPr>
        <w:jc w:val="both"/>
        <w:rPr>
          <w:rFonts w:asciiTheme="minorHAnsi" w:hAnsiTheme="minorHAnsi"/>
        </w:rPr>
      </w:pPr>
    </w:p>
    <w:p w:rsidR="00FA3D7F" w:rsidRDefault="00FA3D7F" w:rsidP="00F81172">
      <w:pPr>
        <w:jc w:val="both"/>
        <w:rPr>
          <w:rFonts w:asciiTheme="minorHAnsi" w:hAnsiTheme="minorHAnsi"/>
        </w:rPr>
      </w:pPr>
    </w:p>
    <w:p w:rsidR="00C97A9E" w:rsidRDefault="00C97A9E" w:rsidP="00F81172">
      <w:pPr>
        <w:jc w:val="both"/>
        <w:rPr>
          <w:rFonts w:asciiTheme="minorHAnsi" w:hAnsiTheme="minorHAnsi"/>
        </w:rPr>
      </w:pPr>
      <w:r w:rsidRPr="00C97A9E">
        <w:rPr>
          <w:rFonts w:asciiTheme="minorHAnsi" w:hAnsiTheme="minorHAnsi"/>
        </w:rPr>
        <w:t>Lectures facilitated by PowerPoint presentation and Q &amp; A session.</w:t>
      </w:r>
    </w:p>
    <w:p w:rsidR="00C97A9E" w:rsidRDefault="00D06137" w:rsidP="00F81172">
      <w:pPr>
        <w:jc w:val="both"/>
        <w:rPr>
          <w:rFonts w:asciiTheme="minorHAnsi" w:hAnsiTheme="minorHAnsi"/>
        </w:rPr>
      </w:pPr>
      <w:r w:rsidRPr="00D06137">
        <w:rPr>
          <w:rFonts w:asciiTheme="minorHAnsi" w:hAnsiTheme="minorHAnsi"/>
          <w:noProof/>
          <w:lang w:eastAsia="zh-CN"/>
        </w:rPr>
        <w:pict>
          <v:roundrect id="_x0000_s1129" style="position:absolute;left:0;text-align:left;margin-left:-6.8pt;margin-top:9.1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p>
    <w:p w:rsidR="00C97A9E" w:rsidRDefault="00C97A9E" w:rsidP="00F81172">
      <w:pPr>
        <w:jc w:val="both"/>
        <w:rPr>
          <w:rFonts w:asciiTheme="minorHAnsi" w:hAnsiTheme="minorHAnsi"/>
        </w:rPr>
      </w:pPr>
    </w:p>
    <w:p w:rsidR="00C97A9E" w:rsidRDefault="00C97A9E" w:rsidP="00F81172">
      <w:pPr>
        <w:jc w:val="both"/>
        <w:rPr>
          <w:rFonts w:asciiTheme="minorHAnsi" w:hAnsiTheme="minorHAnsi"/>
        </w:rPr>
      </w:pPr>
    </w:p>
    <w:p w:rsidR="009C2221" w:rsidRDefault="00C97A9E" w:rsidP="009C2221">
      <w:pPr>
        <w:jc w:val="both"/>
        <w:rPr>
          <w:rFonts w:asciiTheme="minorHAnsi" w:hAnsiTheme="minorHAnsi"/>
        </w:rPr>
      </w:pPr>
      <w:r w:rsidRPr="00C97A9E">
        <w:rPr>
          <w:rFonts w:asciiTheme="minorHAnsi" w:hAnsiTheme="minorHAnsi"/>
        </w:rPr>
        <w:t>Part 1 – Disclosure &amp; Corporate Governance Requirements</w:t>
      </w:r>
    </w:p>
    <w:p w:rsidR="00C97A9E" w:rsidRPr="00C97A9E" w:rsidRDefault="00C97A9E" w:rsidP="00C97A9E">
      <w:pPr>
        <w:pStyle w:val="ListParagraph"/>
        <w:numPr>
          <w:ilvl w:val="0"/>
          <w:numId w:val="18"/>
        </w:numPr>
        <w:spacing w:after="100" w:afterAutospacing="1" w:line="240" w:lineRule="auto"/>
        <w:ind w:left="270" w:hanging="270"/>
        <w:jc w:val="both"/>
        <w:rPr>
          <w:rFonts w:asciiTheme="minorHAnsi" w:hAnsiTheme="minorHAnsi"/>
        </w:rPr>
      </w:pPr>
      <w:r w:rsidRPr="00C97A9E">
        <w:rPr>
          <w:rFonts w:asciiTheme="minorHAnsi" w:hAnsiTheme="minorHAnsi"/>
        </w:rPr>
        <w:t>Bursa Malaysia Listing Requirement’s with regards to Corporate Governance</w:t>
      </w:r>
    </w:p>
    <w:p w:rsidR="00C97A9E" w:rsidRPr="00C97A9E" w:rsidRDefault="00C97A9E" w:rsidP="00C97A9E">
      <w:pPr>
        <w:pStyle w:val="ListParagraph"/>
        <w:numPr>
          <w:ilvl w:val="0"/>
          <w:numId w:val="18"/>
        </w:numPr>
        <w:spacing w:after="100" w:afterAutospacing="1" w:line="240" w:lineRule="auto"/>
        <w:ind w:left="270" w:hanging="270"/>
        <w:jc w:val="both"/>
        <w:rPr>
          <w:rFonts w:asciiTheme="minorHAnsi" w:hAnsiTheme="minorHAnsi"/>
        </w:rPr>
      </w:pPr>
      <w:r w:rsidRPr="00C97A9E">
        <w:rPr>
          <w:rFonts w:asciiTheme="minorHAnsi" w:hAnsiTheme="minorHAnsi"/>
        </w:rPr>
        <w:t>Understanding the changes that were contained in the Securities Commission’s Consultation Paper on the Malaysian Code of Corporate Governance 2016</w:t>
      </w:r>
    </w:p>
    <w:p w:rsidR="00C97A9E" w:rsidRPr="00C97A9E" w:rsidRDefault="00C97A9E" w:rsidP="00C97A9E">
      <w:pPr>
        <w:pStyle w:val="ListParagraph"/>
        <w:numPr>
          <w:ilvl w:val="0"/>
          <w:numId w:val="18"/>
        </w:numPr>
        <w:spacing w:after="100" w:afterAutospacing="1" w:line="240" w:lineRule="auto"/>
        <w:ind w:left="270" w:hanging="270"/>
        <w:jc w:val="both"/>
        <w:rPr>
          <w:rFonts w:asciiTheme="minorHAnsi" w:hAnsiTheme="minorHAnsi"/>
        </w:rPr>
      </w:pPr>
      <w:r w:rsidRPr="00C97A9E">
        <w:rPr>
          <w:rFonts w:asciiTheme="minorHAnsi" w:hAnsiTheme="minorHAnsi"/>
        </w:rPr>
        <w:t>Going forward – the changes that need to be made</w:t>
      </w:r>
    </w:p>
    <w:p w:rsidR="009C2221" w:rsidRDefault="00C97A9E" w:rsidP="009C2221">
      <w:pPr>
        <w:jc w:val="both"/>
        <w:rPr>
          <w:rFonts w:asciiTheme="minorHAnsi" w:hAnsiTheme="minorHAnsi"/>
        </w:rPr>
      </w:pPr>
      <w:r w:rsidRPr="00C97A9E">
        <w:rPr>
          <w:rFonts w:asciiTheme="minorHAnsi" w:hAnsiTheme="minorHAnsi"/>
        </w:rPr>
        <w:t>Part 2 – The Securities Commission (Amendments) Act 2015 and CMSA (Amendments) 2015</w:t>
      </w:r>
    </w:p>
    <w:p w:rsidR="00C97A9E" w:rsidRPr="00C97A9E" w:rsidRDefault="00C97A9E" w:rsidP="00C97A9E">
      <w:pPr>
        <w:pStyle w:val="ListParagraph"/>
        <w:numPr>
          <w:ilvl w:val="0"/>
          <w:numId w:val="19"/>
        </w:numPr>
        <w:spacing w:after="100" w:afterAutospacing="1" w:line="240" w:lineRule="auto"/>
        <w:ind w:left="270" w:hanging="270"/>
        <w:jc w:val="both"/>
        <w:rPr>
          <w:rFonts w:asciiTheme="minorHAnsi" w:hAnsiTheme="minorHAnsi"/>
        </w:rPr>
      </w:pPr>
      <w:r w:rsidRPr="00C97A9E">
        <w:rPr>
          <w:rFonts w:asciiTheme="minorHAnsi" w:hAnsiTheme="minorHAnsi"/>
        </w:rPr>
        <w:t>Understanding the salient amendments and how they impact in listed entities</w:t>
      </w:r>
    </w:p>
    <w:p w:rsidR="00C97A9E" w:rsidRPr="00C97A9E" w:rsidRDefault="00C97A9E" w:rsidP="00C97A9E">
      <w:pPr>
        <w:pStyle w:val="ListParagraph"/>
        <w:numPr>
          <w:ilvl w:val="0"/>
          <w:numId w:val="19"/>
        </w:numPr>
        <w:spacing w:after="100" w:afterAutospacing="1" w:line="240" w:lineRule="auto"/>
        <w:ind w:left="270" w:hanging="270"/>
        <w:jc w:val="both"/>
        <w:rPr>
          <w:rFonts w:asciiTheme="minorHAnsi" w:hAnsiTheme="minorHAnsi"/>
        </w:rPr>
      </w:pPr>
      <w:r w:rsidRPr="00C97A9E">
        <w:rPr>
          <w:rFonts w:asciiTheme="minorHAnsi" w:hAnsiTheme="minorHAnsi"/>
        </w:rPr>
        <w:t>Going forward</w:t>
      </w:r>
    </w:p>
    <w:p w:rsidR="00F81172" w:rsidRDefault="00D06137" w:rsidP="002176CF">
      <w:pPr>
        <w:jc w:val="both"/>
        <w:rPr>
          <w:rFonts w:asciiTheme="minorHAnsi" w:hAnsiTheme="minorHAnsi"/>
        </w:rPr>
      </w:pPr>
      <w:r>
        <w:rPr>
          <w:rFonts w:asciiTheme="minorHAnsi" w:hAnsiTheme="minorHAnsi"/>
          <w:noProof/>
          <w:lang w:val="en-US"/>
        </w:rPr>
        <w:pict>
          <v:roundrect id="_x0000_s1048" style="position:absolute;left:0;text-align:left;margin-left:-4.4pt;margin-top:7.2pt;width:150.55pt;height:23.4pt;z-index:-251654144" arcsize="10923f">
            <v:shadow on="t" offset="3pt" offset2="2pt"/>
            <v:textbox style="mso-next-textbox:#_x0000_s1048">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p>
    <w:p w:rsidR="00F81172" w:rsidRDefault="00F81172" w:rsidP="002176CF">
      <w:pPr>
        <w:jc w:val="both"/>
        <w:rPr>
          <w:rFonts w:asciiTheme="minorHAnsi" w:hAnsiTheme="minorHAnsi"/>
        </w:rPr>
      </w:pPr>
    </w:p>
    <w:p w:rsidR="00F81172" w:rsidRDefault="00F81172" w:rsidP="002176CF">
      <w:pPr>
        <w:jc w:val="both"/>
        <w:rPr>
          <w:rFonts w:asciiTheme="minorHAnsi" w:hAnsiTheme="minorHAnsi"/>
        </w:rPr>
      </w:pPr>
    </w:p>
    <w:p w:rsidR="00FA3D7F" w:rsidRPr="00FA3D7F" w:rsidRDefault="00FA3D7F" w:rsidP="00C97A9E">
      <w:pPr>
        <w:jc w:val="both"/>
        <w:rPr>
          <w:rFonts w:asciiTheme="minorHAnsi" w:hAnsiTheme="minorHAnsi"/>
        </w:rPr>
      </w:pPr>
      <w:r w:rsidRPr="00FA3D7F">
        <w:rPr>
          <w:rFonts w:asciiTheme="minorHAnsi" w:hAnsiTheme="minorHAnsi"/>
        </w:rPr>
        <w:t xml:space="preserve">Company Directors / Financial Controllers &amp; Finance Managers / Accountants &amp; Auditors </w:t>
      </w:r>
    </w:p>
    <w:p w:rsidR="00FA3D7F" w:rsidRDefault="00FA3D7F" w:rsidP="00C97A9E">
      <w:pPr>
        <w:jc w:val="both"/>
        <w:rPr>
          <w:rFonts w:asciiTheme="minorHAnsi" w:hAnsiTheme="minorHAnsi"/>
        </w:rPr>
      </w:pPr>
      <w:r w:rsidRPr="00FA3D7F">
        <w:rPr>
          <w:rFonts w:asciiTheme="minorHAnsi" w:hAnsiTheme="minorHAnsi"/>
        </w:rPr>
        <w:t>Company Secretaries / Academicians / Fund &amp; Investment Managers</w:t>
      </w:r>
    </w:p>
    <w:p w:rsidR="00FA3D7F" w:rsidRDefault="00FA3D7F" w:rsidP="003F6F40">
      <w:pPr>
        <w:rPr>
          <w:rFonts w:asciiTheme="minorHAnsi" w:hAnsiTheme="minorHAnsi"/>
        </w:rPr>
      </w:pPr>
    </w:p>
    <w:p w:rsidR="00FA3D7F" w:rsidRDefault="00D06137"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Style w:val="LightShading"/>
        <w:tblW w:w="5095" w:type="dxa"/>
        <w:tblLayout w:type="fixed"/>
        <w:tblLook w:val="04A0"/>
      </w:tblPr>
      <w:tblGrid>
        <w:gridCol w:w="1458"/>
        <w:gridCol w:w="360"/>
        <w:gridCol w:w="3277"/>
      </w:tblGrid>
      <w:tr w:rsidR="00D90843" w:rsidRPr="00D90843" w:rsidTr="002B7973">
        <w:trPr>
          <w:cnfStyle w:val="1000000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360" w:type="dxa"/>
          </w:tcPr>
          <w:p w:rsidR="00D90843" w:rsidRPr="00D90843" w:rsidRDefault="00D90843" w:rsidP="00D102CC">
            <w:pPr>
              <w:ind w:right="308"/>
              <w:jc w:val="both"/>
              <w:cnfStyle w:val="1000000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C97A9E" w:rsidP="002614B2">
            <w:pPr>
              <w:ind w:right="308"/>
              <w:jc w:val="both"/>
              <w:cnfStyle w:val="100000000000"/>
              <w:rPr>
                <w:rFonts w:asciiTheme="minorHAnsi" w:hAnsiTheme="minorHAnsi" w:cs="Segoe UI Semibold"/>
                <w:sz w:val="20"/>
              </w:rPr>
            </w:pPr>
            <w:r>
              <w:rPr>
                <w:rFonts w:asciiTheme="minorHAnsi" w:hAnsiTheme="minorHAnsi" w:cs="Segoe UI Semibold"/>
                <w:sz w:val="20"/>
              </w:rPr>
              <w:t>24</w:t>
            </w:r>
            <w:r w:rsidRPr="00C97A9E">
              <w:rPr>
                <w:rFonts w:asciiTheme="minorHAnsi" w:hAnsiTheme="minorHAnsi" w:cs="Segoe UI Semibold"/>
                <w:sz w:val="20"/>
                <w:vertAlign w:val="superscript"/>
              </w:rPr>
              <w:t>th</w:t>
            </w:r>
            <w:r>
              <w:rPr>
                <w:rFonts w:asciiTheme="minorHAnsi" w:hAnsiTheme="minorHAnsi" w:cs="Segoe UI Semibold"/>
                <w:sz w:val="20"/>
              </w:rPr>
              <w:t xml:space="preserve"> Oct / 24</w:t>
            </w:r>
            <w:r w:rsidRPr="00C97A9E">
              <w:rPr>
                <w:rFonts w:asciiTheme="minorHAnsi" w:hAnsiTheme="minorHAnsi" w:cs="Segoe UI Semibold"/>
                <w:sz w:val="20"/>
                <w:vertAlign w:val="superscript"/>
              </w:rPr>
              <w:t>th</w:t>
            </w:r>
            <w:r>
              <w:rPr>
                <w:rFonts w:asciiTheme="minorHAnsi" w:hAnsiTheme="minorHAnsi" w:cs="Segoe UI Semibold"/>
                <w:sz w:val="20"/>
              </w:rPr>
              <w:t xml:space="preserve"> Nov 2016</w:t>
            </w:r>
          </w:p>
        </w:tc>
      </w:tr>
      <w:tr w:rsidR="00D90843" w:rsidRPr="00D90843" w:rsidTr="002B7973">
        <w:trPr>
          <w:cnfStyle w:val="0000001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36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B374FE" w:rsidP="00B374FE">
            <w:pPr>
              <w:ind w:right="308"/>
              <w:jc w:val="both"/>
              <w:cnfStyle w:val="000000100000"/>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2B7973">
        <w:trPr>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36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6775F6" w:rsidP="00D102CC">
            <w:pPr>
              <w:ind w:right="308"/>
              <w:jc w:val="both"/>
              <w:cnfStyle w:val="000000000000"/>
              <w:rPr>
                <w:rFonts w:asciiTheme="minorHAnsi" w:hAnsiTheme="minorHAnsi" w:cs="Segoe UI Semibold"/>
                <w:sz w:val="20"/>
              </w:rPr>
            </w:pPr>
            <w:r>
              <w:rPr>
                <w:rFonts w:asciiTheme="minorHAnsi" w:hAnsiTheme="minorHAnsi" w:cs="Segoe UI Semibold"/>
                <w:sz w:val="20"/>
              </w:rPr>
              <w:t>To be advised</w:t>
            </w:r>
          </w:p>
        </w:tc>
      </w:tr>
      <w:tr w:rsidR="00D90843" w:rsidRPr="00D90843" w:rsidTr="002B7973">
        <w:trPr>
          <w:cnfStyle w:val="0000001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36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D90843" w:rsidP="00665332">
            <w:pPr>
              <w:ind w:right="308"/>
              <w:jc w:val="both"/>
              <w:cnfStyle w:val="000000100000"/>
              <w:rPr>
                <w:rFonts w:asciiTheme="minorHAnsi" w:hAnsiTheme="minorHAnsi" w:cs="Segoe UI Semibold"/>
                <w:sz w:val="20"/>
              </w:rPr>
            </w:pPr>
            <w:r w:rsidRPr="00D90843">
              <w:rPr>
                <w:rFonts w:asciiTheme="minorHAnsi" w:hAnsiTheme="minorHAnsi" w:cs="Segoe UI Semibold"/>
                <w:sz w:val="20"/>
              </w:rPr>
              <w:t>RM</w:t>
            </w:r>
            <w:r w:rsidR="00665332">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w:t>
            </w:r>
            <w:r w:rsidR="00665332">
              <w:rPr>
                <w:rFonts w:asciiTheme="minorHAnsi" w:hAnsiTheme="minorHAnsi" w:cs="Segoe UI Semibold"/>
                <w:bCs/>
                <w:sz w:val="20"/>
              </w:rPr>
              <w:t>ex</w:t>
            </w:r>
            <w:r w:rsidR="00C97D66">
              <w:rPr>
                <w:rFonts w:asciiTheme="minorHAnsi" w:hAnsiTheme="minorHAnsi" w:cs="Segoe UI Semibold"/>
                <w:bCs/>
                <w:sz w:val="20"/>
              </w:rPr>
              <w:t xml:space="preserve">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2B7973">
        <w:trPr>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36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D06137">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93074" w:rsidRDefault="00693074">
      <w:pPr>
        <w:rPr>
          <w:rFonts w:asciiTheme="minorHAnsi" w:hAnsiTheme="minorHAnsi"/>
        </w:rPr>
      </w:pPr>
    </w:p>
    <w:p w:rsidR="002176CF" w:rsidRDefault="002176CF">
      <w:pPr>
        <w:rPr>
          <w:rFonts w:asciiTheme="minorHAnsi" w:hAnsiTheme="minorHAnsi"/>
        </w:rPr>
      </w:pPr>
    </w:p>
    <w:p w:rsidR="002176CF" w:rsidRPr="00B26841" w:rsidRDefault="002176CF">
      <w:pPr>
        <w:rPr>
          <w:rFonts w:asciiTheme="minorHAnsi" w:hAnsiTheme="minorHAnsi"/>
        </w:rPr>
        <w:sectPr w:rsidR="002176CF" w:rsidRPr="00B26841" w:rsidSect="00800675">
          <w:type w:val="continuous"/>
          <w:pgSz w:w="11906" w:h="16838" w:code="9"/>
          <w:pgMar w:top="1440" w:right="1080" w:bottom="1440" w:left="1080" w:header="0" w:footer="0" w:gutter="0"/>
          <w:cols w:num="2" w:sep="1" w:space="567"/>
          <w:titlePg/>
          <w:docGrid w:linePitch="299"/>
        </w:sect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sectPr w:rsidR="004B3A5D" w:rsidSect="00800675">
          <w:type w:val="continuous"/>
          <w:pgSz w:w="11906" w:h="16838" w:code="9"/>
          <w:pgMar w:top="806" w:right="922" w:bottom="900" w:left="1800" w:header="0" w:footer="0" w:gutter="0"/>
          <w:cols w:num="2" w:space="284"/>
          <w:titlePg/>
          <w:docGrid w:linePitch="299"/>
        </w:sectPr>
      </w:pPr>
    </w:p>
    <w:p w:rsidR="002176CF" w:rsidRDefault="002176CF"/>
    <w:p w:rsidR="002176CF" w:rsidRDefault="002176CF"/>
    <w:p w:rsidR="002176CF" w:rsidRDefault="002176CF"/>
    <w:p w:rsidR="002176CF" w:rsidRDefault="002176CF">
      <w:pPr>
        <w:sectPr w:rsidR="002176CF" w:rsidSect="00800675">
          <w:type w:val="continuous"/>
          <w:pgSz w:w="11906" w:h="16838" w:code="9"/>
          <w:pgMar w:top="806" w:right="922" w:bottom="900" w:left="1800" w:header="0" w:footer="0" w:gutter="0"/>
          <w:cols w:num="2" w:space="284"/>
          <w:titlePg/>
          <w:docGrid w:linePitch="299"/>
        </w:sectPr>
      </w:pPr>
    </w:p>
    <w:p w:rsidR="00F81172" w:rsidRDefault="00D06137" w:rsidP="000F62E1">
      <w:pPr>
        <w:rPr>
          <w:rFonts w:asciiTheme="majorHAnsi" w:hAnsiTheme="majorHAnsi"/>
          <w:sz w:val="28"/>
          <w:szCs w:val="28"/>
          <w:u w:val="single"/>
        </w:rPr>
      </w:pPr>
      <w:r w:rsidRPr="00D06137">
        <w:rPr>
          <w:rFonts w:asciiTheme="minorHAnsi" w:hAnsiTheme="minorHAnsi"/>
          <w:noProof/>
          <w:lang w:val="en-US"/>
        </w:rPr>
        <w:lastRenderedPageBreak/>
        <w:pict>
          <v:roundrect id="_x0000_s1132" style="position:absolute;margin-left:-8.2pt;margin-top:.9pt;width:150.55pt;height:23.4pt;z-index:251744256" arcsize="10923f">
            <v:shadow on="t" offset="3pt" offset2="2pt"/>
            <v:textbox style="mso-next-textbox:#_x0000_s1132">
              <w:txbxContent>
                <w:p w:rsidR="009C2221" w:rsidRPr="008C1AC0" w:rsidRDefault="008C1AC0" w:rsidP="009C2221">
                  <w:pPr>
                    <w:rPr>
                      <w:rFonts w:asciiTheme="minorHAnsi" w:hAnsiTheme="minorHAnsi"/>
                      <w:lang w:val="en-US"/>
                    </w:rPr>
                  </w:pPr>
                  <w:r>
                    <w:rPr>
                      <w:rFonts w:asciiTheme="minorHAnsi" w:hAnsiTheme="minorHAnsi"/>
                      <w:lang w:val="en-US"/>
                    </w:rPr>
                    <w:t>PRESENTER’S PROFILE</w:t>
                  </w:r>
                </w:p>
              </w:txbxContent>
            </v:textbox>
          </v:roundrect>
        </w:pict>
      </w:r>
    </w:p>
    <w:p w:rsidR="00357C9B" w:rsidRDefault="00357C9B" w:rsidP="000F62E1">
      <w:pPr>
        <w:rPr>
          <w:rFonts w:asciiTheme="majorHAnsi" w:hAnsiTheme="majorHAnsi"/>
          <w:sz w:val="28"/>
          <w:szCs w:val="28"/>
          <w:u w:val="single"/>
        </w:rPr>
      </w:pPr>
    </w:p>
    <w:p w:rsidR="000F62E1" w:rsidRPr="000F62E1" w:rsidRDefault="000F62E1" w:rsidP="000F62E1">
      <w:pPr>
        <w:rPr>
          <w:rFonts w:asciiTheme="majorHAnsi" w:hAnsiTheme="majorHAnsi"/>
          <w:sz w:val="28"/>
          <w:szCs w:val="28"/>
          <w:u w:val="single"/>
        </w:rPr>
      </w:pPr>
    </w:p>
    <w:p w:rsidR="000F62E1" w:rsidRPr="000F62E1" w:rsidRDefault="000F62E1" w:rsidP="000F62E1">
      <w:pPr>
        <w:jc w:val="both"/>
        <w:rPr>
          <w:rFonts w:asciiTheme="minorHAnsi" w:hAnsiTheme="minorHAnsi"/>
          <w:b/>
          <w:bCs/>
          <w:sz w:val="24"/>
          <w:szCs w:val="24"/>
        </w:rPr>
      </w:pPr>
      <w:r w:rsidRPr="000F62E1">
        <w:rPr>
          <w:rFonts w:asciiTheme="minorHAnsi" w:hAnsiTheme="minorHAnsi"/>
          <w:b/>
          <w:bCs/>
          <w:sz w:val="24"/>
          <w:szCs w:val="24"/>
        </w:rPr>
        <w:t>MR. DEVANESAN EVANSON</w:t>
      </w:r>
    </w:p>
    <w:p w:rsidR="000F62E1" w:rsidRPr="000F62E1" w:rsidRDefault="00D06137" w:rsidP="000F62E1">
      <w:pPr>
        <w:jc w:val="both"/>
        <w:rPr>
          <w:rFonts w:asciiTheme="minorHAnsi" w:hAnsiTheme="minorHAnsi"/>
          <w:sz w:val="24"/>
          <w:szCs w:val="24"/>
        </w:rPr>
      </w:pPr>
      <w:r w:rsidRPr="00D06137">
        <w:rPr>
          <w:rFonts w:asciiTheme="majorHAnsi" w:hAnsiTheme="majorHAnsi"/>
          <w:noProof/>
          <w:sz w:val="28"/>
          <w:szCs w:val="28"/>
          <w:u w:val="single"/>
          <w:lang w:val="en-US"/>
        </w:rPr>
        <w:pict>
          <v:shapetype id="_x0000_t6" coordsize="21600,21600" o:spt="6" path="m,l,21600r21600,xe">
            <v:stroke joinstyle="miter"/>
            <v:path gradientshapeok="t" o:connecttype="custom" o:connectlocs="0,0;0,10800;0,21600;10800,21600;21600,21600;10800,10800" textboxrect="1800,12600,12600,19800"/>
          </v:shapetype>
          <v:shape id="_x0000_s1138" type="#_x0000_t6" style="position:absolute;left:0;text-align:left;margin-left:372pt;margin-top:.8pt;width:92.25pt;height:92.25pt;rotation:180;z-index:-251568128" fillcolor="#fde9d9 [665]" stroked="f"/>
        </w:pict>
      </w:r>
      <w:r>
        <w:rPr>
          <w:rFonts w:asciiTheme="minorHAnsi" w:hAnsiTheme="minorHAnsi"/>
          <w:noProof/>
          <w:sz w:val="24"/>
          <w:szCs w:val="24"/>
          <w:lang w:val="en-US"/>
        </w:rPr>
        <w:pict>
          <v:rect id="_x0000_s1139" style="position:absolute;left:0;text-align:left;margin-left:-12.75pt;margin-top:.8pt;width:477pt;height:207.75pt;z-index:251749376" filled="f" strokecolor="#fde9d9 [665]"/>
        </w:pict>
      </w:r>
    </w:p>
    <w:p w:rsidR="000F62E1" w:rsidRPr="000F62E1" w:rsidRDefault="000F62E1" w:rsidP="000F62E1">
      <w:pPr>
        <w:jc w:val="both"/>
        <w:rPr>
          <w:rFonts w:asciiTheme="minorHAnsi" w:hAnsiTheme="minorHAnsi"/>
          <w:sz w:val="24"/>
          <w:szCs w:val="24"/>
        </w:rPr>
      </w:pPr>
      <w:r w:rsidRPr="000F62E1">
        <w:rPr>
          <w:rFonts w:asciiTheme="minorHAnsi" w:hAnsiTheme="minorHAnsi"/>
          <w:sz w:val="24"/>
          <w:szCs w:val="24"/>
        </w:rPr>
        <w:t>Mr. Devanesan Evanson, who holds a LLB (Hons), is a fellow member of the Association of Chartered Certified Accountants (FCCA) and past president of the Malaysian Advisory Committee of ACCA. He is also a member of the MIA and a past council member of MIA. He is a Governor with IIA Malaysia and a past president</w:t>
      </w:r>
    </w:p>
    <w:p w:rsidR="000F62E1" w:rsidRPr="000F62E1" w:rsidRDefault="000F62E1" w:rsidP="000F62E1">
      <w:pPr>
        <w:jc w:val="both"/>
        <w:rPr>
          <w:rFonts w:asciiTheme="minorHAnsi" w:hAnsiTheme="minorHAnsi"/>
          <w:sz w:val="24"/>
          <w:szCs w:val="24"/>
        </w:rPr>
      </w:pPr>
    </w:p>
    <w:p w:rsidR="000F62E1" w:rsidRPr="000F62E1" w:rsidRDefault="00D06137" w:rsidP="000F62E1">
      <w:pPr>
        <w:jc w:val="both"/>
        <w:rPr>
          <w:rFonts w:asciiTheme="minorHAnsi" w:hAnsiTheme="minorHAnsi"/>
          <w:sz w:val="24"/>
          <w:szCs w:val="24"/>
        </w:rPr>
      </w:pPr>
      <w:r w:rsidRPr="00D06137">
        <w:rPr>
          <w:rFonts w:asciiTheme="majorHAnsi" w:hAnsiTheme="majorHAnsi"/>
          <w:noProof/>
          <w:sz w:val="28"/>
          <w:szCs w:val="28"/>
          <w:u w:val="single"/>
          <w:lang w:val="en-US"/>
        </w:rPr>
        <w:pict>
          <v:shape id="_x0000_s1136" type="#_x0000_t6" style="position:absolute;left:0;text-align:left;margin-left:-12.75pt;margin-top:28.4pt;width:92.25pt;height:92.25pt;z-index:-251569152" fillcolor="#fde9d9 [665]" stroked="f"/>
        </w:pict>
      </w:r>
      <w:r w:rsidR="000F62E1" w:rsidRPr="000F62E1">
        <w:rPr>
          <w:rFonts w:asciiTheme="minorHAnsi" w:hAnsiTheme="minorHAnsi"/>
          <w:sz w:val="24"/>
          <w:szCs w:val="24"/>
        </w:rPr>
        <w:t xml:space="preserve"> 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p>
    <w:p w:rsidR="000F62E1" w:rsidRPr="000F62E1" w:rsidRDefault="000F62E1" w:rsidP="000F62E1">
      <w:pPr>
        <w:jc w:val="both"/>
        <w:rPr>
          <w:rFonts w:asciiTheme="minorHAnsi" w:hAnsiTheme="minorHAnsi"/>
          <w:sz w:val="24"/>
          <w:szCs w:val="24"/>
        </w:rPr>
      </w:pPr>
    </w:p>
    <w:p w:rsidR="00357C9B" w:rsidRPr="000F62E1" w:rsidRDefault="000F62E1" w:rsidP="000F62E1">
      <w:pPr>
        <w:jc w:val="both"/>
        <w:rPr>
          <w:rFonts w:asciiTheme="minorHAnsi" w:hAnsiTheme="minorHAnsi"/>
          <w:sz w:val="24"/>
          <w:szCs w:val="24"/>
        </w:rPr>
      </w:pPr>
      <w:r w:rsidRPr="000F62E1">
        <w:rPr>
          <w:rFonts w:asciiTheme="minorHAnsi" w:hAnsiTheme="minorHAnsi"/>
          <w:sz w:val="24"/>
          <w:szCs w:val="24"/>
        </w:rPr>
        <w:t>Devanesan is currently a free-lance trainer in the areas of Risk, Controls, Governance, Internal Audit and Listing Requirements.</w:t>
      </w: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357C9B" w:rsidRDefault="00357C9B"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D06137" w:rsidP="001335DE">
      <w:pPr>
        <w:jc w:val="center"/>
        <w:rPr>
          <w:rFonts w:asciiTheme="minorHAnsi" w:hAnsiTheme="minorHAnsi"/>
          <w:sz w:val="24"/>
          <w:szCs w:val="24"/>
        </w:rPr>
      </w:pPr>
      <w:sdt>
        <w:sdtPr>
          <w:rPr>
            <w:rStyle w:val="TitleChar"/>
            <w:sz w:val="32"/>
            <w:szCs w:val="32"/>
          </w:rPr>
          <w:alias w:val="Title"/>
          <w:id w:val="109011425"/>
          <w:placeholder>
            <w:docPart w:val="E28115BCE8F34F5CA75A1E1AAA042858"/>
          </w:placeholder>
          <w:dataBinding w:prefixMappings="xmlns:ns0='http://purl.org/dc/elements/1.1/' xmlns:ns1='http://schemas.openxmlformats.org/package/2006/metadata/core-properties' " w:xpath="/ns1:coreProperties[1]/ns0:title[1]" w:storeItemID="{6C3C8BC8-F283-45AE-878A-BAB7291924A1}"/>
          <w:text/>
        </w:sdtPr>
        <w:sdtContent>
          <w:r w:rsidR="00962253">
            <w:rPr>
              <w:rStyle w:val="TitleChar"/>
              <w:sz w:val="32"/>
              <w:szCs w:val="32"/>
              <w:lang w:val="en-MY"/>
            </w:rPr>
            <w:t>Expectation On PLCs And Directors In Disclosure &amp; Compliance Requirements Under The Listing Requirements</w:t>
          </w:r>
        </w:sdtContent>
      </w:sdt>
      <w:r w:rsidR="006807E9">
        <w:rPr>
          <w:rFonts w:asciiTheme="minorHAnsi" w:hAnsiTheme="minorHAnsi"/>
          <w:sz w:val="24"/>
          <w:szCs w:val="24"/>
        </w:rPr>
        <w:br/>
      </w:r>
      <w:r w:rsidR="001335DE">
        <w:rPr>
          <w:rFonts w:asciiTheme="minorHAnsi" w:hAnsiTheme="minorHAnsi"/>
          <w:sz w:val="24"/>
          <w:szCs w:val="24"/>
        </w:rPr>
        <w:t>(</w:t>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1335DE">
        <w:rPr>
          <w:rFonts w:asciiTheme="minorHAnsi" w:hAnsiTheme="minorHAnsi"/>
          <w:sz w:val="24"/>
          <w:szCs w:val="24"/>
        </w:rPr>
        <w:t>)</w:t>
      </w:r>
    </w:p>
    <w:p w:rsidR="004E6547" w:rsidRDefault="004E6547"/>
    <w:p w:rsidR="00E76169" w:rsidRPr="004E6547" w:rsidRDefault="00D06137">
      <w:pPr>
        <w:rPr>
          <w:rFonts w:asciiTheme="minorHAnsi" w:hAnsiTheme="minorHAnsi"/>
          <w:sz w:val="24"/>
          <w:szCs w:val="24"/>
        </w:rPr>
      </w:pPr>
      <w:r w:rsidRPr="00D06137">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288"/>
        <w:gridCol w:w="450"/>
        <w:gridCol w:w="2970"/>
        <w:gridCol w:w="270"/>
        <w:gridCol w:w="450"/>
        <w:gridCol w:w="360"/>
        <w:gridCol w:w="299"/>
      </w:tblGrid>
      <w:tr w:rsidR="00FB169B" w:rsidRPr="00E76169" w:rsidTr="002B7973">
        <w:tc>
          <w:tcPr>
            <w:tcW w:w="250" w:type="dxa"/>
          </w:tcPr>
          <w:p w:rsidR="00FB169B" w:rsidRPr="00E76169" w:rsidRDefault="00D06137"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top;mso-position-vertical-relative:margin">
                  <v:shadow on="t" offset=",3pt" offset2=",2pt"/>
                  <w10:wrap anchory="margin"/>
                </v:rect>
              </w:pict>
            </w:r>
          </w:p>
        </w:tc>
        <w:tc>
          <w:tcPr>
            <w:tcW w:w="2288" w:type="dxa"/>
          </w:tcPr>
          <w:p w:rsidR="00FB169B" w:rsidRPr="00E76169" w:rsidRDefault="00890C1D" w:rsidP="00C97D66">
            <w:pPr>
              <w:rPr>
                <w:rFonts w:asciiTheme="minorHAnsi" w:hAnsiTheme="minorHAnsi"/>
                <w:sz w:val="24"/>
                <w:szCs w:val="24"/>
                <w:lang w:val="en-US"/>
              </w:rPr>
            </w:pPr>
            <w:r>
              <w:rPr>
                <w:rFonts w:asciiTheme="minorHAnsi" w:hAnsiTheme="minorHAnsi"/>
                <w:sz w:val="24"/>
                <w:szCs w:val="24"/>
                <w:lang w:val="en-US"/>
              </w:rPr>
              <w:t>24</w:t>
            </w:r>
            <w:r w:rsidRPr="00890C1D">
              <w:rPr>
                <w:rFonts w:asciiTheme="minorHAnsi" w:hAnsiTheme="minorHAnsi"/>
                <w:sz w:val="24"/>
                <w:szCs w:val="24"/>
                <w:vertAlign w:val="superscript"/>
                <w:lang w:val="en-US"/>
              </w:rPr>
              <w:t>th</w:t>
            </w:r>
            <w:r>
              <w:rPr>
                <w:rFonts w:asciiTheme="minorHAnsi" w:hAnsiTheme="minorHAnsi"/>
                <w:sz w:val="24"/>
                <w:szCs w:val="24"/>
                <w:lang w:val="en-US"/>
              </w:rPr>
              <w:t xml:space="preserve"> October</w:t>
            </w:r>
          </w:p>
        </w:tc>
        <w:tc>
          <w:tcPr>
            <w:tcW w:w="450" w:type="dxa"/>
          </w:tcPr>
          <w:p w:rsidR="00FB169B" w:rsidRPr="00E76169" w:rsidRDefault="00D06137" w:rsidP="00D102CC">
            <w:pPr>
              <w:rPr>
                <w:rFonts w:asciiTheme="minorHAnsi" w:hAnsiTheme="minorHAnsi"/>
                <w:sz w:val="24"/>
                <w:szCs w:val="24"/>
                <w:lang w:val="en-US"/>
              </w:rPr>
            </w:pPr>
            <w:r>
              <w:rPr>
                <w:rFonts w:asciiTheme="minorHAnsi" w:hAnsiTheme="minorHAnsi"/>
                <w:noProof/>
                <w:sz w:val="24"/>
                <w:szCs w:val="24"/>
                <w:lang w:val="en-US"/>
              </w:rPr>
              <w:pict>
                <v:rect id="_x0000_s1133" style="position:absolute;margin-left:3.4pt;margin-top:0;width:10.65pt;height:10.05pt;z-index:251745280;mso-position-horizontal-relative:text;mso-position-vertical:top;mso-position-vertical-relative:margin">
                  <v:shadow on="t" offset=",3pt" offset2=",2pt"/>
                  <w10:wrap anchory="margin"/>
                </v:rect>
              </w:pict>
            </w:r>
          </w:p>
        </w:tc>
        <w:tc>
          <w:tcPr>
            <w:tcW w:w="2970" w:type="dxa"/>
          </w:tcPr>
          <w:p w:rsidR="00FB169B" w:rsidRPr="00E76169" w:rsidRDefault="00890C1D" w:rsidP="001969FF">
            <w:pPr>
              <w:rPr>
                <w:rFonts w:asciiTheme="minorHAnsi" w:hAnsiTheme="minorHAnsi"/>
                <w:sz w:val="24"/>
                <w:szCs w:val="24"/>
                <w:lang w:val="en-US"/>
              </w:rPr>
            </w:pPr>
            <w:r>
              <w:rPr>
                <w:rFonts w:asciiTheme="minorHAnsi" w:hAnsiTheme="minorHAnsi"/>
                <w:sz w:val="24"/>
                <w:szCs w:val="24"/>
                <w:lang w:val="en-US"/>
              </w:rPr>
              <w:t>24</w:t>
            </w:r>
            <w:r w:rsidRPr="00890C1D">
              <w:rPr>
                <w:rFonts w:asciiTheme="minorHAnsi" w:hAnsiTheme="minorHAnsi"/>
                <w:sz w:val="24"/>
                <w:szCs w:val="24"/>
                <w:vertAlign w:val="superscript"/>
                <w:lang w:val="en-US"/>
              </w:rPr>
              <w:t>th</w:t>
            </w:r>
            <w:r>
              <w:rPr>
                <w:rFonts w:asciiTheme="minorHAnsi" w:hAnsiTheme="minorHAnsi"/>
                <w:sz w:val="24"/>
                <w:szCs w:val="24"/>
                <w:lang w:val="en-US"/>
              </w:rPr>
              <w:t xml:space="preserve"> November 2016</w:t>
            </w:r>
          </w:p>
        </w:tc>
        <w:tc>
          <w:tcPr>
            <w:tcW w:w="270" w:type="dxa"/>
          </w:tcPr>
          <w:p w:rsidR="00FB169B" w:rsidRPr="00E76169" w:rsidRDefault="00FB169B" w:rsidP="00D102CC">
            <w:pPr>
              <w:rPr>
                <w:rFonts w:asciiTheme="minorHAnsi" w:hAnsiTheme="minorHAnsi"/>
                <w:sz w:val="24"/>
                <w:szCs w:val="24"/>
                <w:lang w:val="en-US"/>
              </w:rPr>
            </w:pPr>
          </w:p>
        </w:tc>
        <w:tc>
          <w:tcPr>
            <w:tcW w:w="450" w:type="dxa"/>
          </w:tcPr>
          <w:p w:rsidR="00FB169B" w:rsidRPr="00E76169" w:rsidRDefault="00FB169B" w:rsidP="00D102CC">
            <w:pPr>
              <w:rPr>
                <w:rFonts w:asciiTheme="minorHAnsi" w:hAnsiTheme="minorHAnsi"/>
                <w:sz w:val="24"/>
                <w:szCs w:val="24"/>
                <w:lang w:val="en-US"/>
              </w:rPr>
            </w:pPr>
          </w:p>
        </w:tc>
        <w:tc>
          <w:tcPr>
            <w:tcW w:w="360" w:type="dxa"/>
          </w:tcPr>
          <w:p w:rsidR="00FB169B" w:rsidRDefault="00FB169B" w:rsidP="00D102CC">
            <w:pPr>
              <w:rPr>
                <w:rFonts w:asciiTheme="minorHAnsi" w:hAnsiTheme="minorHAnsi"/>
                <w:sz w:val="24"/>
                <w:szCs w:val="24"/>
                <w:lang w:val="en-US"/>
              </w:rPr>
            </w:pPr>
          </w:p>
        </w:tc>
        <w:tc>
          <w:tcPr>
            <w:tcW w:w="29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D06137" w:rsidP="00E76169">
      <w:pPr>
        <w:rPr>
          <w:rFonts w:asciiTheme="minorHAnsi" w:hAnsiTheme="minorHAnsi"/>
          <w:sz w:val="24"/>
          <w:szCs w:val="24"/>
        </w:rPr>
      </w:pPr>
      <w:r w:rsidRPr="00D06137">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0F62E1">
      <w:pPr>
        <w:tabs>
          <w:tab w:val="center" w:pos="4513"/>
        </w:tabs>
        <w:rPr>
          <w:rFonts w:asciiTheme="minorHAnsi" w:hAnsiTheme="minorHAnsi"/>
          <w:sz w:val="24"/>
          <w:szCs w:val="24"/>
        </w:rPr>
      </w:pPr>
      <w:r w:rsidRPr="004E6547">
        <w:rPr>
          <w:rFonts w:asciiTheme="minorHAnsi" w:hAnsiTheme="minorHAnsi"/>
          <w:sz w:val="24"/>
          <w:szCs w:val="24"/>
        </w:rPr>
        <w:t>Details:</w:t>
      </w:r>
      <w:r w:rsidR="000F62E1">
        <w:rPr>
          <w:rFonts w:asciiTheme="minorHAnsi" w:hAnsiTheme="minorHAnsi"/>
          <w:sz w:val="24"/>
          <w:szCs w:val="24"/>
        </w:rPr>
        <w:tab/>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D06137"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Default="00C97D66" w:rsidP="009C2221">
      <w:pPr>
        <w:jc w:val="center"/>
        <w:rPr>
          <w:rFonts w:asciiTheme="minorHAnsi" w:hAnsiTheme="minorHAnsi"/>
          <w:noProof/>
          <w:sz w:val="24"/>
          <w:szCs w:val="24"/>
          <w:lang w:val="en-US"/>
        </w:rPr>
      </w:pPr>
      <w:r w:rsidRPr="00E94F5F">
        <w:rPr>
          <w:rFonts w:asciiTheme="minorHAnsi" w:hAnsiTheme="minorHAnsi"/>
          <w:noProof/>
          <w:sz w:val="24"/>
          <w:szCs w:val="24"/>
          <w:lang w:val="en-US"/>
        </w:rPr>
        <w:t xml:space="preserve">E-MAIL TO: </w:t>
      </w:r>
      <w:hyperlink r:id="rId13" w:history="1">
        <w:r w:rsidR="002B7973" w:rsidRPr="00AE179D">
          <w:rPr>
            <w:rStyle w:val="Hyperlink"/>
            <w:rFonts w:asciiTheme="minorHAnsi" w:hAnsiTheme="minorHAnsi"/>
            <w:noProof/>
            <w:sz w:val="24"/>
            <w:szCs w:val="24"/>
            <w:lang w:val="en-US"/>
          </w:rPr>
          <w:t>bursatra5@gmail.com</w:t>
        </w:r>
      </w:hyperlink>
    </w:p>
    <w:p w:rsidR="002B7973" w:rsidRPr="00C97D66" w:rsidRDefault="002B7973" w:rsidP="009C2221">
      <w:pPr>
        <w:jc w:val="center"/>
        <w:rPr>
          <w:rFonts w:asciiTheme="minorHAnsi" w:hAnsiTheme="minorHAnsi"/>
          <w:noProof/>
          <w:color w:val="548DD4" w:themeColor="text2" w:themeTint="99"/>
          <w:sz w:val="24"/>
          <w:szCs w:val="24"/>
          <w:lang w:val="en-US"/>
        </w:rPr>
      </w:pPr>
    </w:p>
    <w:p w:rsidR="00E76169" w:rsidRDefault="00D06137"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8pt;margin-top:3.4pt;width:459.85pt;height:50.25pt;z-index:251742208" arcsize="10923f" fillcolor="white [3201]" strokecolor="black [3200]" strokeweight="2.5pt">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1335DE" w:rsidRDefault="001335DE" w:rsidP="00E76169">
      <w:pPr>
        <w:jc w:val="center"/>
        <w:rPr>
          <w:rFonts w:asciiTheme="minorHAnsi" w:hAnsiTheme="minorHAnsi"/>
          <w:sz w:val="24"/>
          <w:szCs w:val="24"/>
        </w:rPr>
      </w:pPr>
    </w:p>
    <w:p w:rsidR="001335DE" w:rsidRDefault="001335DE" w:rsidP="001335DE">
      <w:pPr>
        <w:ind w:left="252" w:right="252"/>
        <w:jc w:val="center"/>
        <w:rPr>
          <w:rFonts w:ascii="Century Gothic" w:hAnsi="Century Gothic"/>
          <w:b/>
          <w:color w:val="FF0000"/>
          <w:sz w:val="20"/>
        </w:rPr>
      </w:pPr>
    </w:p>
    <w:p w:rsidR="000F62E1" w:rsidRDefault="000F62E1" w:rsidP="001335DE">
      <w:pPr>
        <w:ind w:left="252" w:right="252"/>
        <w:jc w:val="center"/>
        <w:rPr>
          <w:rFonts w:ascii="Century Gothic" w:hAnsi="Century Gothic"/>
          <w:b/>
          <w:color w:val="FF0000"/>
          <w:sz w:val="20"/>
        </w:rPr>
      </w:pPr>
    </w:p>
    <w:p w:rsidR="001335DE" w:rsidRPr="002B7973" w:rsidRDefault="001335DE" w:rsidP="001335DE">
      <w:pPr>
        <w:ind w:left="252" w:right="252"/>
        <w:jc w:val="center"/>
        <w:rPr>
          <w:rFonts w:ascii="Calibri" w:hAnsi="Calibri"/>
          <w:color w:val="000000"/>
          <w:sz w:val="20"/>
        </w:rPr>
      </w:pPr>
      <w:r w:rsidRPr="002B7973">
        <w:rPr>
          <w:rFonts w:ascii="Calibri" w:hAnsi="Calibri"/>
          <w:b/>
          <w:color w:val="FF0000"/>
          <w:sz w:val="20"/>
        </w:rPr>
        <w:t>BURSATRA SDN BHD</w:t>
      </w:r>
      <w:r w:rsidRPr="002B7973">
        <w:rPr>
          <w:rFonts w:ascii="Calibri" w:hAnsi="Calibri"/>
          <w:color w:val="000000"/>
          <w:sz w:val="20"/>
        </w:rPr>
        <w:t xml:space="preserve"> is a registered training provider with PSMB (Reg. No: 520353-U)</w:t>
      </w:r>
    </w:p>
    <w:p w:rsidR="001335DE" w:rsidRPr="00E76169" w:rsidRDefault="001335DE" w:rsidP="00E76169">
      <w:pPr>
        <w:jc w:val="center"/>
        <w:rPr>
          <w:rFonts w:asciiTheme="minorHAnsi" w:hAnsiTheme="minorHAnsi"/>
          <w:sz w:val="24"/>
          <w:szCs w:val="24"/>
        </w:rPr>
      </w:pPr>
    </w:p>
    <w:sectPr w:rsidR="001335DE" w:rsidRPr="00E76169" w:rsidSect="00E14C50">
      <w:type w:val="continuous"/>
      <w:pgSz w:w="11906" w:h="16838" w:code="9"/>
      <w:pgMar w:top="1440" w:right="1440" w:bottom="1440" w:left="144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043" w:rsidRDefault="00257043">
      <w:r>
        <w:separator/>
      </w:r>
    </w:p>
  </w:endnote>
  <w:endnote w:type="continuationSeparator" w:id="1">
    <w:p w:rsidR="00257043" w:rsidRDefault="002570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043" w:rsidRDefault="00257043">
      <w:r>
        <w:separator/>
      </w:r>
    </w:p>
  </w:footnote>
  <w:footnote w:type="continuationSeparator" w:id="1">
    <w:p w:rsidR="00257043" w:rsidRDefault="00257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061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D06137" w:rsidP="00C24690">
    <w:pPr>
      <w:pStyle w:val="Heading5"/>
      <w:ind w:left="-810" w:hanging="90"/>
      <w:rPr>
        <w:rFonts w:ascii="Century Gothic" w:hAnsi="Century Gothic"/>
        <w:i w:val="0"/>
        <w:iCs/>
        <w:sz w:val="24"/>
        <w:szCs w:val="24"/>
      </w:rPr>
    </w:pPr>
    <w:r w:rsidRPr="00D0613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0613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E34"/>
    <w:multiLevelType w:val="hybridMultilevel"/>
    <w:tmpl w:val="EF9A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E4F1F"/>
    <w:multiLevelType w:val="hybridMultilevel"/>
    <w:tmpl w:val="21C8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E39BF"/>
    <w:multiLevelType w:val="hybridMultilevel"/>
    <w:tmpl w:val="44C8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9543A6"/>
    <w:multiLevelType w:val="hybridMultilevel"/>
    <w:tmpl w:val="1774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C238DD"/>
    <w:multiLevelType w:val="hybridMultilevel"/>
    <w:tmpl w:val="90E0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21EF8"/>
    <w:multiLevelType w:val="hybridMultilevel"/>
    <w:tmpl w:val="8C24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10"/>
  </w:num>
  <w:num w:numId="5">
    <w:abstractNumId w:val="2"/>
  </w:num>
  <w:num w:numId="6">
    <w:abstractNumId w:val="13"/>
  </w:num>
  <w:num w:numId="7">
    <w:abstractNumId w:val="8"/>
  </w:num>
  <w:num w:numId="8">
    <w:abstractNumId w:val="5"/>
  </w:num>
  <w:num w:numId="9">
    <w:abstractNumId w:val="4"/>
  </w:num>
  <w:num w:numId="10">
    <w:abstractNumId w:val="1"/>
  </w:num>
  <w:num w:numId="11">
    <w:abstractNumId w:val="6"/>
  </w:num>
  <w:num w:numId="12">
    <w:abstractNumId w:val="9"/>
  </w:num>
  <w:num w:numId="13">
    <w:abstractNumId w:val="3"/>
  </w:num>
  <w:num w:numId="14">
    <w:abstractNumId w:val="16"/>
  </w:num>
  <w:num w:numId="15">
    <w:abstractNumId w:val="12"/>
  </w:num>
  <w:num w:numId="16">
    <w:abstractNumId w:val="18"/>
  </w:num>
  <w:num w:numId="17">
    <w:abstractNumId w:val="17"/>
  </w:num>
  <w:num w:numId="18">
    <w:abstractNumId w:val="11"/>
  </w:num>
  <w:num w:numId="19">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0242">
      <o:colormru v:ext="edit" colors="#eaeaea,aqua,#ffb9b9"/>
      <o:colormenu v:ext="edit" fillcolor="none" strokecolor="none [665]"/>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48E4"/>
    <w:rsid w:val="000E7423"/>
    <w:rsid w:val="000E7B65"/>
    <w:rsid w:val="000F18B0"/>
    <w:rsid w:val="000F1D91"/>
    <w:rsid w:val="000F62E1"/>
    <w:rsid w:val="000F7359"/>
    <w:rsid w:val="001012CF"/>
    <w:rsid w:val="00101374"/>
    <w:rsid w:val="00104CCA"/>
    <w:rsid w:val="00104DC9"/>
    <w:rsid w:val="00111448"/>
    <w:rsid w:val="00115ED9"/>
    <w:rsid w:val="00116013"/>
    <w:rsid w:val="00120F5D"/>
    <w:rsid w:val="001215E3"/>
    <w:rsid w:val="001235DF"/>
    <w:rsid w:val="00133138"/>
    <w:rsid w:val="001335DE"/>
    <w:rsid w:val="0013504A"/>
    <w:rsid w:val="001361FB"/>
    <w:rsid w:val="00136C30"/>
    <w:rsid w:val="00137940"/>
    <w:rsid w:val="00141FD8"/>
    <w:rsid w:val="001425E0"/>
    <w:rsid w:val="00147163"/>
    <w:rsid w:val="001477AC"/>
    <w:rsid w:val="00154BFB"/>
    <w:rsid w:val="00166D1E"/>
    <w:rsid w:val="00173979"/>
    <w:rsid w:val="00174072"/>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176CF"/>
    <w:rsid w:val="0022291C"/>
    <w:rsid w:val="0024105E"/>
    <w:rsid w:val="002473F6"/>
    <w:rsid w:val="002513A9"/>
    <w:rsid w:val="00254A86"/>
    <w:rsid w:val="00257043"/>
    <w:rsid w:val="00257F18"/>
    <w:rsid w:val="002614B2"/>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B7973"/>
    <w:rsid w:val="002C286F"/>
    <w:rsid w:val="002D152D"/>
    <w:rsid w:val="002D1EA7"/>
    <w:rsid w:val="002D40CE"/>
    <w:rsid w:val="002D76A9"/>
    <w:rsid w:val="002E6DF0"/>
    <w:rsid w:val="002E6DF1"/>
    <w:rsid w:val="002F32AA"/>
    <w:rsid w:val="002F629E"/>
    <w:rsid w:val="002F679A"/>
    <w:rsid w:val="00304457"/>
    <w:rsid w:val="003215CC"/>
    <w:rsid w:val="00321A2B"/>
    <w:rsid w:val="00323457"/>
    <w:rsid w:val="00324A08"/>
    <w:rsid w:val="003300F6"/>
    <w:rsid w:val="003324DF"/>
    <w:rsid w:val="00336392"/>
    <w:rsid w:val="0034120C"/>
    <w:rsid w:val="00350723"/>
    <w:rsid w:val="0035263B"/>
    <w:rsid w:val="00357C9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85431"/>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65332"/>
    <w:rsid w:val="00670C30"/>
    <w:rsid w:val="0067124E"/>
    <w:rsid w:val="00671D35"/>
    <w:rsid w:val="00672847"/>
    <w:rsid w:val="00675E1C"/>
    <w:rsid w:val="0067733A"/>
    <w:rsid w:val="006775F6"/>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77EB1"/>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0C1D"/>
    <w:rsid w:val="00893FF6"/>
    <w:rsid w:val="008A36B4"/>
    <w:rsid w:val="008A7D0C"/>
    <w:rsid w:val="008B4D1B"/>
    <w:rsid w:val="008C1AC0"/>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253"/>
    <w:rsid w:val="00962CD4"/>
    <w:rsid w:val="00966197"/>
    <w:rsid w:val="0097354E"/>
    <w:rsid w:val="009812C8"/>
    <w:rsid w:val="009815BA"/>
    <w:rsid w:val="00987CCB"/>
    <w:rsid w:val="00990228"/>
    <w:rsid w:val="009A581A"/>
    <w:rsid w:val="009A76B0"/>
    <w:rsid w:val="009A7D2F"/>
    <w:rsid w:val="009A7DE5"/>
    <w:rsid w:val="009B1017"/>
    <w:rsid w:val="009B4381"/>
    <w:rsid w:val="009B4A69"/>
    <w:rsid w:val="009C2221"/>
    <w:rsid w:val="009C6541"/>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612A4"/>
    <w:rsid w:val="00A63244"/>
    <w:rsid w:val="00A63428"/>
    <w:rsid w:val="00A63981"/>
    <w:rsid w:val="00A72244"/>
    <w:rsid w:val="00A72AB9"/>
    <w:rsid w:val="00A80B58"/>
    <w:rsid w:val="00A875B6"/>
    <w:rsid w:val="00A900AF"/>
    <w:rsid w:val="00A91344"/>
    <w:rsid w:val="00A96EDC"/>
    <w:rsid w:val="00AB2E66"/>
    <w:rsid w:val="00AC523C"/>
    <w:rsid w:val="00AD10AE"/>
    <w:rsid w:val="00AD7636"/>
    <w:rsid w:val="00AE16FE"/>
    <w:rsid w:val="00AE3449"/>
    <w:rsid w:val="00AE744D"/>
    <w:rsid w:val="00AF24EB"/>
    <w:rsid w:val="00AF519B"/>
    <w:rsid w:val="00B0380D"/>
    <w:rsid w:val="00B04AC7"/>
    <w:rsid w:val="00B10286"/>
    <w:rsid w:val="00B12A1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A9E"/>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6137"/>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21E"/>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4C50"/>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1172"/>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eaeaea,aqua,#ffb9b9"/>
      <o:colormenu v:ext="edit" fillcolor="none" strokecolor="none [665]"/>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LightShading">
    <w:name w:val="Light Shading"/>
    <w:basedOn w:val="TableNormal"/>
    <w:uiPriority w:val="60"/>
    <w:rsid w:val="006653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485431"/>
    <w:rPr>
      <w:i/>
      <w:iCs/>
      <w:color w:val="000000" w:themeColor="text1"/>
    </w:rPr>
  </w:style>
  <w:style w:type="character" w:customStyle="1" w:styleId="QuoteChar">
    <w:name w:val="Quote Char"/>
    <w:basedOn w:val="DefaultParagraphFont"/>
    <w:link w:val="Quote"/>
    <w:uiPriority w:val="29"/>
    <w:rsid w:val="00485431"/>
    <w:rPr>
      <w:rFonts w:ascii="Arial" w:hAnsi="Arial"/>
      <w:i/>
      <w:iCs/>
      <w:color w:val="000000" w:themeColor="text1"/>
      <w:sz w:val="22"/>
      <w:lang w:val="en-GB"/>
    </w:rPr>
  </w:style>
  <w:style w:type="character" w:styleId="PlaceholderText">
    <w:name w:val="Placeholder Text"/>
    <w:basedOn w:val="DefaultParagraphFont"/>
    <w:uiPriority w:val="99"/>
    <w:semiHidden/>
    <w:rsid w:val="000F62E1"/>
    <w:rPr>
      <w:color w:val="808080"/>
    </w:rPr>
  </w:style>
  <w:style w:type="paragraph" w:styleId="Title">
    <w:name w:val="Title"/>
    <w:basedOn w:val="Normal"/>
    <w:next w:val="Normal"/>
    <w:link w:val="TitleChar"/>
    <w:qFormat/>
    <w:rsid w:val="000F62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F62E1"/>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ursatra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8115BCE8F34F5CA75A1E1AAA042858"/>
        <w:category>
          <w:name w:val="General"/>
          <w:gallery w:val="placeholder"/>
        </w:category>
        <w:types>
          <w:type w:val="bbPlcHdr"/>
        </w:types>
        <w:behaviors>
          <w:behavior w:val="content"/>
        </w:behaviors>
        <w:guid w:val="{7E28D2E6-BFEE-4F89-A9EA-0C520D1EC052}"/>
      </w:docPartPr>
      <w:docPartBody>
        <w:p w:rsidR="001A4CE7" w:rsidRDefault="00667B18">
          <w:r w:rsidRPr="001C541A">
            <w:rPr>
              <w:rStyle w:val="PlaceholderText"/>
            </w:rPr>
            <w:t>[Title]</w:t>
          </w:r>
        </w:p>
      </w:docPartBody>
    </w:docPart>
    <w:docPart>
      <w:docPartPr>
        <w:name w:val="7AA7E8D0E1BE4931B31A7104AA04CD0D"/>
        <w:category>
          <w:name w:val="General"/>
          <w:gallery w:val="placeholder"/>
        </w:category>
        <w:types>
          <w:type w:val="bbPlcHdr"/>
        </w:types>
        <w:behaviors>
          <w:behavior w:val="content"/>
        </w:behaviors>
        <w:guid w:val="{4D6C2B3E-5F0F-408E-AA1A-7C510EF88EE2}"/>
      </w:docPartPr>
      <w:docPartBody>
        <w:p w:rsidR="001A4CE7" w:rsidRDefault="00667B18">
          <w:r w:rsidRPr="001C541A">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67B18"/>
    <w:rsid w:val="001A4CE7"/>
    <w:rsid w:val="00667B18"/>
    <w:rsid w:val="00EB3E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B18"/>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89E74-A1C0-4AAB-A859-28AF2674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3943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Expectation On PLCs And Directors In Disclosure &amp; Compliance Requirements Under The Listing Requirements</dc:title>
  <dc:creator>Azlan</dc:creator>
  <dc:description>Devansan</dc:description>
  <cp:lastModifiedBy>hp</cp:lastModifiedBy>
  <cp:revision>8</cp:revision>
  <cp:lastPrinted>2015-07-06T11:13:00Z</cp:lastPrinted>
  <dcterms:created xsi:type="dcterms:W3CDTF">2016-09-18T19:04:00Z</dcterms:created>
  <dcterms:modified xsi:type="dcterms:W3CDTF">2016-10-11T05:56:00Z</dcterms:modified>
  <cp:category>CGBP</cp:category>
</cp:coreProperties>
</file>